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Checklist for Evaluating OER Presented by the Oklahoma Council for Online Learning Excellence (COLE)</w:t>
      </w:r>
      <w:r w:rsidDel="00000000" w:rsidR="00000000" w:rsidRPr="00000000">
        <w:rPr>
          <w:rtl w:val="0"/>
        </w:rPr>
      </w:r>
    </w:p>
    <w:tbl>
      <w:tblPr>
        <w:tblStyle w:val="Table1"/>
        <w:tblW w:w="103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7"/>
        <w:gridCol w:w="2971"/>
        <w:tblGridChange w:id="0">
          <w:tblGrid>
            <w:gridCol w:w="7337"/>
            <w:gridCol w:w="297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BREADTH OF PERSPECTIVES AND ACCURACY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information in the OER is accurate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provides appropriate coverage of material in a clear, logical manner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reflects accurate and recent scholarship in terms of the subject matter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provides a thorough and evenhanded exploration of course content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reflects multiple perspectives and points of view on course topics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Controversies within the discipline/program are discussed with sufficient scope for the course learning outcomes and objectives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provides theoretical perspectives for the topic, addressing major theories appropriately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contains no spelling errors or typos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26"/>
        <w:gridCol w:w="2967"/>
        <w:tblGridChange w:id="0">
          <w:tblGrid>
            <w:gridCol w:w="7326"/>
            <w:gridCol w:w="2967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ALIGNMENT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28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If applicable, </w:t>
            </w:r>
            <w:r w:rsidDel="00000000" w:rsidR="00000000" w:rsidRPr="00000000">
              <w:rPr>
                <w:rtl w:val="0"/>
              </w:rPr>
              <w:t xml:space="preserve">the OER aligns 100 percent with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Course Equivalency Tables</w:t>
              </w:r>
            </w:hyperlink>
            <w:r w:rsidDel="00000000" w:rsidR="00000000" w:rsidRPr="00000000">
              <w:rPr>
                <w:rtl w:val="0"/>
              </w:rPr>
              <w:t xml:space="preserve"> course description and student learning outcomes – it is clear to students what materials they should interact with in order to demonstrate mastery of specific outcomes.  NOTE:  Outcomes are updated annually and found in the APPENDIX located on the bottom of the page. 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7"/>
        <w:gridCol w:w="2971"/>
        <w:tblGridChange w:id="0">
          <w:tblGrid>
            <w:gridCol w:w="7337"/>
            <w:gridCol w:w="2971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PRODUCTION QUALITY 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content in the OER is clear and understandable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interface and design are easy to navigate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is designed to promote learning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sound quality is high for audio resources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video and audio (if included) quality are high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9"/>
        <w:gridCol w:w="2984"/>
        <w:tblGridChange w:id="0">
          <w:tblGrid>
            <w:gridCol w:w="7369"/>
            <w:gridCol w:w="2984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ADA COMPLIANCE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Transcript or subtitles are provided for audio resources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Closed captioning or subtitles are provided for video resources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Alt tags or long descriptions are included for graphics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44"/>
        <w:gridCol w:w="3014"/>
        <w:tblGridChange w:id="0">
          <w:tblGrid>
            <w:gridCol w:w="7444"/>
            <w:gridCol w:w="3014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ACCESS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and support materials are available for use on the first day of class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are accessible in multiple modes (e.g. for download, printing, reading online and mobile technology)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65"/>
        <w:gridCol w:w="3023"/>
        <w:tblGridChange w:id="0">
          <w:tblGrid>
            <w:gridCol w:w="7465"/>
            <w:gridCol w:w="3023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ENGAGEMENT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36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OER promotes active learning, class participation, and/or collaboration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resource provides opportunities for students to test their learning (e.g. a video or PowerPoint presentation with built-in checks for understanding)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includes a mix of instructional approaches 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includes multiple modalities (e.g. graphics, tables, and information other than text) to support student learning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includes additional faculty resources</w:t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OER includes effective and engaging student assessments of the course learning outcomes and objectives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1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86"/>
        <w:gridCol w:w="3031"/>
        <w:tblGridChange w:id="0">
          <w:tblGrid>
            <w:gridCol w:w="7486"/>
            <w:gridCol w:w="303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CULTURAL RELEVANCE AND SENSITIVITY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21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resource establishes inclusion through classroom activities</w:t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OER develops an attitude of acceptance and respect for others’ opinions</w:t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OER enhances meaning through collaborative experiences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OER provides for self-reflection and self-assessment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61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8"/>
        <w:gridCol w:w="3044"/>
        <w:tblGridChange w:id="0">
          <w:tblGrid>
            <w:gridCol w:w="7518"/>
            <w:gridCol w:w="3044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LICENSING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rHeight w:val="20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Does the resource’s license permit educational use of it?</w:t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Does the license allow users to modify or adapt the materials?</w:t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This checklist by COLE is an adaptation of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"Checklist for Evaluating Open Educational Resources (OER)"</w:t>
        </w:r>
      </w:hyperlink>
      <w:r w:rsidDel="00000000" w:rsidR="00000000" w:rsidRPr="00000000">
        <w:rPr>
          <w:sz w:val="24"/>
          <w:szCs w:val="24"/>
          <w:rtl w:val="0"/>
        </w:rPr>
        <w:t xml:space="preserve"> by the Office of Instructional &amp; Faculty Development  at Austin Community College is licensed under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CC BY 4.0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" TargetMode="External"/><Relationship Id="rId3" Type="http://schemas.openxmlformats.org/officeDocument/2006/relationships/fontTable" Target="fontTable.xml"/><Relationship Id="rId7" Type="http://schemas.openxmlformats.org/officeDocument/2006/relationships/hyperlink" Target="https://docs.google.com/document/d/1fzJDzGRzzCDbOo65L8xzRUcQGtmn83LHsMMEOK-Mjm0/edit?usp=sharin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okhighered.org/transfer-students/course-transfer.shtml" TargetMode="Externa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yperlink" Target="http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B132C859FDB4AAEF694AC9DAACA63" ma:contentTypeVersion="21" ma:contentTypeDescription="Create a new document." ma:contentTypeScope="" ma:versionID="2fa2acd35f1ec8f377c16be60d12e8c7">
  <xsd:schema xmlns:xsd="http://www.w3.org/2001/XMLSchema" xmlns:xs="http://www.w3.org/2001/XMLSchema" xmlns:p="http://schemas.microsoft.com/office/2006/metadata/properties" xmlns:ns2="29f43d65-08b4-4ec3-98c9-8b08ee33ec53" xmlns:ns3="85282a53-827d-4236-8de6-76a7d51d147d" targetNamespace="http://schemas.microsoft.com/office/2006/metadata/properties" ma:root="true" ma:fieldsID="f898c10506a227d53753e18d0c570d98" ns2:_="" ns3:_="">
    <xsd:import namespace="29f43d65-08b4-4ec3-98c9-8b08ee33ec53"/>
    <xsd:import namespace="85282a53-827d-4236-8de6-76a7d51d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43d65-08b4-4ec3-98c9-8b08ee3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82a53-827d-4236-8de6-76a7d51d147d" xsi:nil="true"/>
    <lcf76f155ced4ddcb4097134ff3c332f xmlns="29f43d65-08b4-4ec3-98c9-8b08ee33e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203E9-34AB-442B-8A0C-E7B984174895}"/>
</file>

<file path=customXml/itemProps2.xml><?xml version="1.0" encoding="utf-8"?>
<ds:datastoreItem xmlns:ds="http://schemas.openxmlformats.org/officeDocument/2006/customXml" ds:itemID="{79AE1AC4-FEC0-47D0-A91B-99AD80905AB0}"/>
</file>

<file path=customXml/itemProps3.xml><?xml version="1.0" encoding="utf-8"?>
<ds:datastoreItem xmlns:ds="http://schemas.openxmlformats.org/officeDocument/2006/customXml" ds:itemID="{0F9D65CE-B7AD-4ABB-B77B-FA1FCFD2FAB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0x01010064EB132C859FDB4AAEF694AC9DAACA63</vt:lpwstr>
  </property>
</Properties>
</file>